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E1" w:rsidRPr="005925CB" w:rsidRDefault="000B3487" w:rsidP="00D413C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CIRCULAR N° 2 ACLARATORIA</w:t>
      </w:r>
    </w:p>
    <w:p w:rsidR="000B5BE1" w:rsidRPr="005925CB" w:rsidRDefault="000B5BE1" w:rsidP="00D413C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925CB">
        <w:rPr>
          <w:rFonts w:ascii="Arial" w:hAnsi="Arial" w:cs="Arial"/>
          <w:b/>
          <w:color w:val="000000" w:themeColor="text1"/>
          <w:sz w:val="24"/>
          <w:szCs w:val="24"/>
        </w:rPr>
        <w:t>LICITACI</w:t>
      </w:r>
      <w:r w:rsidR="00006864">
        <w:rPr>
          <w:rFonts w:ascii="Arial" w:hAnsi="Arial" w:cs="Arial"/>
          <w:b/>
          <w:color w:val="000000" w:themeColor="text1"/>
          <w:sz w:val="24"/>
          <w:szCs w:val="24"/>
        </w:rPr>
        <w:t>Ó</w:t>
      </w:r>
      <w:r w:rsidRPr="005925CB">
        <w:rPr>
          <w:rFonts w:ascii="Arial" w:hAnsi="Arial" w:cs="Arial"/>
          <w:b/>
          <w:color w:val="000000" w:themeColor="text1"/>
          <w:sz w:val="24"/>
          <w:szCs w:val="24"/>
        </w:rPr>
        <w:t xml:space="preserve">N </w:t>
      </w:r>
      <w:r w:rsidR="005925CB" w:rsidRPr="005925CB">
        <w:rPr>
          <w:rFonts w:ascii="Arial" w:hAnsi="Arial" w:cs="Arial"/>
          <w:b/>
          <w:color w:val="000000" w:themeColor="text1"/>
          <w:sz w:val="24"/>
          <w:szCs w:val="24"/>
        </w:rPr>
        <w:t>PÚBLICA</w:t>
      </w:r>
      <w:r w:rsidRPr="005925CB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="005925CB" w:rsidRPr="005925CB">
        <w:rPr>
          <w:rFonts w:ascii="Arial" w:hAnsi="Arial" w:cs="Arial"/>
          <w:b/>
          <w:color w:val="000000" w:themeColor="text1"/>
          <w:sz w:val="24"/>
          <w:szCs w:val="24"/>
        </w:rPr>
        <w:t xml:space="preserve"> 2/2024 </w:t>
      </w:r>
      <w:r w:rsidRPr="005925CB">
        <w:rPr>
          <w:rFonts w:ascii="Arial" w:hAnsi="Arial" w:cs="Arial"/>
          <w:b/>
          <w:color w:val="000000" w:themeColor="text1"/>
          <w:sz w:val="24"/>
          <w:szCs w:val="24"/>
        </w:rPr>
        <w:t>“CONCESION BUFFET NATATORIO MUNICIPAL”</w:t>
      </w:r>
    </w:p>
    <w:p w:rsidR="000B5BE1" w:rsidRPr="00D413CA" w:rsidRDefault="000B5BE1" w:rsidP="000B3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3CA">
        <w:rPr>
          <w:rFonts w:ascii="Arial" w:hAnsi="Arial" w:cs="Arial"/>
          <w:sz w:val="24"/>
          <w:szCs w:val="24"/>
        </w:rPr>
        <w:t>Se comunica a los potenciales oferentes, que en el marco de la revisión de los procedimientos vigentes y en vistas de lograr mayor eficiencia en los proceso</w:t>
      </w:r>
      <w:bookmarkStart w:id="0" w:name="_GoBack"/>
      <w:bookmarkEnd w:id="0"/>
      <w:r w:rsidRPr="00D413CA">
        <w:rPr>
          <w:rFonts w:ascii="Arial" w:hAnsi="Arial" w:cs="Arial"/>
          <w:sz w:val="24"/>
          <w:szCs w:val="24"/>
        </w:rPr>
        <w:t xml:space="preserve">s de contratación, </w:t>
      </w:r>
      <w:r w:rsidR="000B3487">
        <w:rPr>
          <w:rFonts w:ascii="Arial" w:hAnsi="Arial" w:cs="Arial"/>
          <w:sz w:val="24"/>
          <w:szCs w:val="24"/>
        </w:rPr>
        <w:t>se aclara</w:t>
      </w:r>
    </w:p>
    <w:p w:rsidR="00023C4F" w:rsidRPr="00D413CA" w:rsidRDefault="000B3487" w:rsidP="000B3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348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.- </w:t>
      </w:r>
      <w:r w:rsidRPr="000B3487">
        <w:rPr>
          <w:rFonts w:ascii="Arial" w:hAnsi="Arial" w:cs="Arial"/>
          <w:sz w:val="24"/>
          <w:szCs w:val="24"/>
        </w:rPr>
        <w:t xml:space="preserve">El </w:t>
      </w:r>
      <w:r w:rsidRPr="000B3487">
        <w:rPr>
          <w:rFonts w:ascii="Arial" w:hAnsi="Arial" w:cs="Arial"/>
          <w:b/>
          <w:sz w:val="24"/>
          <w:szCs w:val="24"/>
          <w:u w:val="single"/>
        </w:rPr>
        <w:t xml:space="preserve">Articulo N° 3 </w:t>
      </w:r>
      <w:r w:rsidRPr="000B3487">
        <w:rPr>
          <w:rFonts w:ascii="Arial" w:hAnsi="Arial" w:cs="Arial"/>
          <w:sz w:val="24"/>
          <w:szCs w:val="24"/>
        </w:rPr>
        <w:t>quedará redactado de la siguiente forma:</w:t>
      </w:r>
      <w:r w:rsidR="000B5BE1" w:rsidRPr="000B3487">
        <w:rPr>
          <w:rFonts w:ascii="Arial" w:hAnsi="Arial" w:cs="Arial"/>
          <w:b/>
          <w:sz w:val="24"/>
          <w:szCs w:val="24"/>
        </w:rPr>
        <w:t xml:space="preserve"> </w:t>
      </w:r>
      <w:r w:rsidR="00023C4F" w:rsidRPr="00D413CA">
        <w:rPr>
          <w:rFonts w:ascii="Arial" w:hAnsi="Arial" w:cs="Arial"/>
          <w:sz w:val="24"/>
          <w:szCs w:val="24"/>
        </w:rPr>
        <w:t xml:space="preserve">(Oferentes) Podrán participar del presente llamado, las sociedades privadas o mixtas domiciliadas en el país y personas físicas, con capacidad jurídica a los efectos de esta licitación. </w:t>
      </w:r>
    </w:p>
    <w:p w:rsidR="000B5BE1" w:rsidRDefault="00023C4F" w:rsidP="000B3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3CA">
        <w:rPr>
          <w:rFonts w:ascii="Arial" w:hAnsi="Arial" w:cs="Arial"/>
          <w:sz w:val="24"/>
          <w:szCs w:val="24"/>
        </w:rPr>
        <w:t xml:space="preserve">Las sociedades en formación y las sociedades de hecho podrán igualmente participar, a condición de tener personería jurídica acordada dentro de un plazo no mayor de 30 días de </w:t>
      </w:r>
      <w:proofErr w:type="spellStart"/>
      <w:r w:rsidRPr="00D413CA">
        <w:rPr>
          <w:rFonts w:ascii="Arial" w:hAnsi="Arial" w:cs="Arial"/>
          <w:sz w:val="24"/>
          <w:szCs w:val="24"/>
        </w:rPr>
        <w:t>preadjudicada</w:t>
      </w:r>
      <w:proofErr w:type="spellEnd"/>
      <w:r w:rsidRPr="00D413CA">
        <w:rPr>
          <w:rFonts w:ascii="Arial" w:hAnsi="Arial" w:cs="Arial"/>
          <w:sz w:val="24"/>
          <w:szCs w:val="24"/>
        </w:rPr>
        <w:t xml:space="preserve"> la concesión. Caso contrario será </w:t>
      </w:r>
      <w:proofErr w:type="gramStart"/>
      <w:r w:rsidRPr="00D413CA">
        <w:rPr>
          <w:rFonts w:ascii="Arial" w:hAnsi="Arial" w:cs="Arial"/>
          <w:sz w:val="24"/>
          <w:szCs w:val="24"/>
        </w:rPr>
        <w:t>desestimada</w:t>
      </w:r>
      <w:proofErr w:type="gramEnd"/>
      <w:r w:rsidRPr="00D413CA">
        <w:rPr>
          <w:rFonts w:ascii="Arial" w:hAnsi="Arial" w:cs="Arial"/>
          <w:sz w:val="24"/>
          <w:szCs w:val="24"/>
        </w:rPr>
        <w:t xml:space="preserve"> su propuesta con pér</w:t>
      </w:r>
      <w:r w:rsidR="00CC5897">
        <w:rPr>
          <w:rFonts w:ascii="Arial" w:hAnsi="Arial" w:cs="Arial"/>
          <w:sz w:val="24"/>
          <w:szCs w:val="24"/>
        </w:rPr>
        <w:t>dida de la garantía de oferta.</w:t>
      </w:r>
    </w:p>
    <w:p w:rsidR="00CC5897" w:rsidRPr="00CC5897" w:rsidRDefault="00CC5897" w:rsidP="000B34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 xml:space="preserve">Las sociedades en formación y las sociedades de hecho podrán igualmente participar, a condición de tener personería jurídica acordada dentro de un plazo no mayor de 30 días de pre adjudicada la concesión. Caso contrario será </w:t>
      </w:r>
      <w:proofErr w:type="gramStart"/>
      <w:r w:rsidRPr="00CC5897">
        <w:rPr>
          <w:rFonts w:ascii="Arial" w:eastAsia="Times New Roman" w:hAnsi="Arial" w:cs="Arial"/>
          <w:sz w:val="24"/>
          <w:szCs w:val="24"/>
          <w:lang w:eastAsia="es-AR"/>
        </w:rPr>
        <w:t>desestimada</w:t>
      </w:r>
      <w:proofErr w:type="gramEnd"/>
      <w:r w:rsidRPr="00CC5897">
        <w:rPr>
          <w:rFonts w:ascii="Arial" w:eastAsia="Times New Roman" w:hAnsi="Arial" w:cs="Arial"/>
          <w:sz w:val="24"/>
          <w:szCs w:val="24"/>
          <w:lang w:eastAsia="es-AR"/>
        </w:rPr>
        <w:t xml:space="preserve"> su propuesta con pérdida de la garantía de oferta. </w:t>
      </w:r>
    </w:p>
    <w:p w:rsidR="00CC5897" w:rsidRPr="00CC5897" w:rsidRDefault="00CC5897" w:rsidP="000B34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ab/>
        <w:t xml:space="preserve">Cada uno de los </w:t>
      </w:r>
      <w:proofErr w:type="spellStart"/>
      <w:r w:rsidRPr="00CC5897">
        <w:rPr>
          <w:rFonts w:ascii="Arial" w:eastAsia="Times New Roman" w:hAnsi="Arial" w:cs="Arial"/>
          <w:sz w:val="24"/>
          <w:szCs w:val="24"/>
          <w:lang w:eastAsia="es-AR"/>
        </w:rPr>
        <w:t>co</w:t>
      </w:r>
      <w:proofErr w:type="spellEnd"/>
      <w:r w:rsidRPr="00CC5897">
        <w:rPr>
          <w:rFonts w:ascii="Arial" w:eastAsia="Times New Roman" w:hAnsi="Arial" w:cs="Arial"/>
          <w:sz w:val="24"/>
          <w:szCs w:val="24"/>
          <w:lang w:eastAsia="es-AR"/>
        </w:rPr>
        <w:t>-oferentes queda obligado ilimitada y solidariamente, por toda y cualquier obligación y/o responsabilidad emergente de la presentación de la oferta y la adjudicación, debiendo así declararlo expresamente al proponer el proyecto o al otorgar los poderes al representante común.-</w:t>
      </w:r>
    </w:p>
    <w:p w:rsidR="00CC5897" w:rsidRPr="00CC5897" w:rsidRDefault="00CC5897" w:rsidP="000B34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ab/>
        <w:t>Inhabilitados para ofertar- No podrán concurrir a esta licitación: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Los agentes de la Administración Nacional, Provincial o Municipal.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Las personas que estén inhabilitadas por condena judicial, mientras dure su inhabilitación.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Las personas físicas o jurídicas que tengan alguna inhabilitación para contratar con la Municipalidad de Villarino.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 xml:space="preserve">Los contratistas o concesionarios del Estado Nacional, Provincial o Municipal, de cualquiera de las provincias o municipios que hayan cesado como concesionarios de cualquier otro ente estatal por una causa que les </w:t>
      </w:r>
      <w:r w:rsidRPr="00CC5897">
        <w:rPr>
          <w:rFonts w:ascii="Arial" w:eastAsia="Times New Roman" w:hAnsi="Arial" w:cs="Arial"/>
          <w:sz w:val="24"/>
          <w:szCs w:val="24"/>
          <w:lang w:eastAsia="es-AR"/>
        </w:rPr>
        <w:lastRenderedPageBreak/>
        <w:t>sea imputable o que se encontraren suspendidos o inhabilitados en algún registro oficial Nacional, Provincial o Municipal.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Quienes se encuentren demandados por el Estado Nacional, Provincial o Municipal, cualquiera del resto de las provincias o municipios en su carácter de concesionarios de servicios públicos por incumplimiento grave de sus obligaciones económicas y/o de la prestación de servicio, y las sociedades que fueran sucesoras de estas cuando existiesen indicios suficientes para presumir que media en el caso una simulación con el fin de eludir la aplicación del presente inciso.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Los quebrados o concursados, hasta tres (3) años después de su rehabilitación.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Las personas físicas o jurídicas nacionales o extranjeras que hubieran estado sometidas a procesos de quiebra o concurso de acreedores y que no hubieran sido rehabilitadas judicialmente.</w:t>
      </w:r>
    </w:p>
    <w:p w:rsidR="00CC5897" w:rsidRP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Los que se encontrasen en mora con la Administración Pública Nacional, Provincial o Municipal con motivo de concesiones y/o permisos.</w:t>
      </w:r>
    </w:p>
    <w:p w:rsidR="00CC5897" w:rsidRDefault="00CC5897" w:rsidP="000B3487">
      <w:pPr>
        <w:numPr>
          <w:ilvl w:val="0"/>
          <w:numId w:val="3"/>
        </w:numPr>
        <w:spacing w:after="0" w:line="360" w:lineRule="auto"/>
        <w:ind w:right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Los que tuviesen procesos judiciales litigiosos pendientes con la Administración Pública Nacional, Provincial y Municipal.</w:t>
      </w:r>
    </w:p>
    <w:p w:rsidR="00CC5897" w:rsidRPr="00CC5897" w:rsidRDefault="00CC5897" w:rsidP="000B3487">
      <w:pPr>
        <w:spacing w:after="0" w:line="360" w:lineRule="auto"/>
        <w:ind w:right="403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CC5897">
        <w:rPr>
          <w:rFonts w:ascii="Arial" w:eastAsia="Times New Roman" w:hAnsi="Arial" w:cs="Arial"/>
          <w:sz w:val="24"/>
          <w:szCs w:val="24"/>
          <w:lang w:eastAsia="es-AR"/>
        </w:rPr>
        <w:t>Los impedimentos indicados en los puntos anteriores alcanzan a las empresas, entidades, directores y socios que se encuentren comprendidos en ellos, o los que hayan estado en algún momento durante los tres (3) años previos al acto de apertura y a las personas que durante igual lapso hubieran tenido algunos de estos desempeños en empresas o entidades comprendidas en dichos supuestos.</w:t>
      </w:r>
      <w:r w:rsidR="000B3487">
        <w:rPr>
          <w:rFonts w:ascii="Arial" w:eastAsia="Times New Roman" w:hAnsi="Arial" w:cs="Arial"/>
          <w:sz w:val="24"/>
          <w:szCs w:val="24"/>
          <w:lang w:eastAsia="es-AR"/>
        </w:rPr>
        <w:t>-</w:t>
      </w:r>
    </w:p>
    <w:p w:rsidR="00CC5897" w:rsidRPr="00D413CA" w:rsidRDefault="00CC5897" w:rsidP="000B3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5BE1" w:rsidRPr="00C83357" w:rsidRDefault="000B5BE1" w:rsidP="000B348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B5BE1" w:rsidRPr="00C83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31EC"/>
    <w:multiLevelType w:val="hybridMultilevel"/>
    <w:tmpl w:val="70C00F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48D6"/>
    <w:multiLevelType w:val="multilevel"/>
    <w:tmpl w:val="D9EE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605E1"/>
    <w:multiLevelType w:val="hybridMultilevel"/>
    <w:tmpl w:val="043E12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E1"/>
    <w:rsid w:val="00006864"/>
    <w:rsid w:val="00023C4F"/>
    <w:rsid w:val="000B3487"/>
    <w:rsid w:val="000B5BE1"/>
    <w:rsid w:val="005925CB"/>
    <w:rsid w:val="00994570"/>
    <w:rsid w:val="00C13C68"/>
    <w:rsid w:val="00C56290"/>
    <w:rsid w:val="00C83357"/>
    <w:rsid w:val="00CC5897"/>
    <w:rsid w:val="00D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1530-ABAE-4F9D-90FC-6F8EA0EF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2024-09-18T13:21:00Z</dcterms:created>
  <dcterms:modified xsi:type="dcterms:W3CDTF">2024-09-20T12:49:00Z</dcterms:modified>
</cp:coreProperties>
</file>